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9FE" w:rsidRPr="00A7659B" w:rsidRDefault="005169FE" w:rsidP="005169FE">
      <w:pPr>
        <w:spacing w:before="120" w:after="120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sz w:val="19"/>
          <w:lang w:val="es-ES_tradnl"/>
        </w:rPr>
        <w:t>(Sólo para ISV Royalty Program)</w:t>
      </w:r>
    </w:p>
    <w:tbl>
      <w:tblPr>
        <w:tblW w:w="936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60"/>
      </w:tblGrid>
      <w:tr w:rsidR="005169FE" w:rsidRPr="00A7659B" w:rsidTr="00EC1BDB">
        <w:trPr>
          <w:trHeight w:hRule="exact" w:val="648"/>
        </w:trPr>
        <w:tc>
          <w:tcPr>
            <w:tcW w:w="936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5169FE" w:rsidRPr="00A7659B" w:rsidRDefault="005169FE" w:rsidP="00EC1BDB">
            <w:pPr>
              <w:pStyle w:val="Heading1"/>
              <w:numPr>
                <w:ilvl w:val="0"/>
                <w:numId w:val="0"/>
              </w:numPr>
              <w:rPr>
                <w:bCs w:val="0"/>
                <w:sz w:val="24"/>
                <w:szCs w:val="24"/>
                <w:lang w:val="es-ES_tradnl"/>
              </w:rPr>
            </w:pPr>
            <w:bookmarkStart w:id="0" w:name="_Toc104560343"/>
            <w:bookmarkStart w:id="1" w:name="_Toc104876507"/>
            <w:bookmarkStart w:id="2" w:name="_Toc116219452"/>
            <w:bookmarkEnd w:id="0"/>
            <w:bookmarkEnd w:id="1"/>
            <w:bookmarkEnd w:id="2"/>
            <w:r w:rsidRPr="00A7659B">
              <w:rPr>
                <w:bCs w:val="0"/>
                <w:sz w:val="24"/>
                <w:szCs w:val="24"/>
                <w:lang w:val="es-ES_tradnl"/>
              </w:rPr>
              <w:t>Microsoft</w:t>
            </w:r>
            <w:r w:rsidRPr="00A7659B">
              <w:rPr>
                <w:bCs w:val="0"/>
                <w:sz w:val="24"/>
                <w:szCs w:val="24"/>
                <w:vertAlign w:val="superscript"/>
                <w:lang w:val="es-ES_tradnl"/>
              </w:rPr>
              <w:t>®</w:t>
            </w:r>
            <w:r w:rsidRPr="00A7659B">
              <w:rPr>
                <w:bCs w:val="0"/>
                <w:sz w:val="24"/>
                <w:szCs w:val="24"/>
                <w:lang w:val="es-ES_tradnl"/>
              </w:rPr>
              <w:t xml:space="preserve"> MapPoint</w:t>
            </w:r>
            <w:r w:rsidRPr="00A7659B">
              <w:rPr>
                <w:bCs w:val="0"/>
                <w:sz w:val="24"/>
                <w:szCs w:val="24"/>
                <w:vertAlign w:val="superscript"/>
                <w:lang w:val="es-ES_tradnl"/>
              </w:rPr>
              <w:t>®</w:t>
            </w:r>
            <w:r w:rsidRPr="00A7659B">
              <w:rPr>
                <w:bCs w:val="0"/>
                <w:sz w:val="24"/>
                <w:szCs w:val="24"/>
                <w:lang w:val="es-ES_tradnl"/>
              </w:rPr>
              <w:t xml:space="preserve"> 2013 </w:t>
            </w:r>
            <w:bookmarkStart w:id="3" w:name="Text1"/>
            <w:r w:rsidRPr="00A7659B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7659B">
              <w:rPr>
                <w:sz w:val="24"/>
                <w:szCs w:val="24"/>
              </w:rPr>
              <w:instrText xml:space="preserve"> FORMTEXT </w:instrText>
            </w:r>
            <w:r w:rsidRPr="00A7659B">
              <w:rPr>
                <w:sz w:val="24"/>
                <w:szCs w:val="24"/>
              </w:rPr>
            </w:r>
            <w:r w:rsidRPr="00A7659B">
              <w:rPr>
                <w:sz w:val="24"/>
                <w:szCs w:val="24"/>
              </w:rPr>
              <w:fldChar w:fldCharType="separate"/>
            </w:r>
            <w:bookmarkStart w:id="4" w:name="_GoBack"/>
            <w:r w:rsidRPr="00A7659B">
              <w:rPr>
                <w:noProof/>
                <w:sz w:val="24"/>
                <w:szCs w:val="24"/>
              </w:rPr>
              <w:t> </w:t>
            </w:r>
            <w:r w:rsidRPr="00A7659B">
              <w:rPr>
                <w:noProof/>
                <w:sz w:val="24"/>
                <w:szCs w:val="24"/>
              </w:rPr>
              <w:t> </w:t>
            </w:r>
            <w:r w:rsidRPr="00A7659B">
              <w:rPr>
                <w:noProof/>
                <w:sz w:val="24"/>
                <w:szCs w:val="24"/>
              </w:rPr>
              <w:t> </w:t>
            </w:r>
            <w:r w:rsidRPr="00A7659B">
              <w:rPr>
                <w:noProof/>
                <w:sz w:val="24"/>
                <w:szCs w:val="24"/>
              </w:rPr>
              <w:t> </w:t>
            </w:r>
            <w:r w:rsidRPr="00A7659B">
              <w:rPr>
                <w:noProof/>
                <w:sz w:val="24"/>
                <w:szCs w:val="24"/>
              </w:rPr>
              <w:t> </w:t>
            </w:r>
            <w:bookmarkEnd w:id="4"/>
            <w:r w:rsidRPr="00A7659B">
              <w:rPr>
                <w:sz w:val="24"/>
                <w:szCs w:val="24"/>
              </w:rPr>
              <w:fldChar w:fldCharType="end"/>
            </w:r>
            <w:bookmarkEnd w:id="3"/>
            <w:r w:rsidRPr="00A7659B">
              <w:rPr>
                <w:rStyle w:val="FootnoteReference"/>
                <w:bCs w:val="0"/>
                <w:sz w:val="24"/>
                <w:szCs w:val="24"/>
                <w:lang w:val="es-ES_tradnl"/>
              </w:rPr>
              <w:footnoteReference w:id="1"/>
            </w:r>
            <w:r w:rsidRPr="004F24FC">
              <w:rPr>
                <w:sz w:val="24"/>
                <w:szCs w:val="24"/>
              </w:rPr>
              <w:fldChar w:fldCharType="begin"/>
            </w:r>
            <w:r w:rsidRPr="004F24FC">
              <w:rPr>
                <w:sz w:val="24"/>
                <w:szCs w:val="24"/>
              </w:rPr>
              <w:instrText xml:space="preserve"> TC “Microsoft</w:instrText>
            </w:r>
            <w:r>
              <w:rPr>
                <w:sz w:val="24"/>
                <w:szCs w:val="24"/>
              </w:rPr>
              <w:instrText xml:space="preserve"> MapPoint 2013</w:instrText>
            </w:r>
            <w:r w:rsidRPr="004F24FC">
              <w:rPr>
                <w:sz w:val="24"/>
                <w:szCs w:val="24"/>
              </w:rPr>
              <w:instrText xml:space="preserve">” \f C \l “1” </w:instrText>
            </w:r>
            <w:r w:rsidRPr="004F24FC">
              <w:rPr>
                <w:sz w:val="24"/>
                <w:szCs w:val="24"/>
              </w:rPr>
              <w:fldChar w:fldCharType="end"/>
            </w:r>
          </w:p>
        </w:tc>
      </w:tr>
      <w:tr w:rsidR="005169FE" w:rsidRPr="00A7659B" w:rsidTr="00EC1BDB">
        <w:trPr>
          <w:trHeight w:hRule="exact" w:val="72"/>
        </w:trPr>
        <w:tc>
          <w:tcPr>
            <w:tcW w:w="9360" w:type="dxa"/>
            <w:tcBorders>
              <w:top w:val="single" w:sz="12" w:space="0" w:color="252593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vAlign w:val="center"/>
          </w:tcPr>
          <w:p w:rsidR="005169FE" w:rsidRPr="00A7659B" w:rsidRDefault="005169FE" w:rsidP="00EC1BDB">
            <w:pPr>
              <w:rPr>
                <w:rFonts w:ascii="Tahoma" w:hAnsi="Tahoma" w:cs="Tahoma"/>
                <w:lang w:val="es-ES_tradnl"/>
              </w:rPr>
            </w:pPr>
          </w:p>
        </w:tc>
      </w:tr>
      <w:tr w:rsidR="005169FE" w:rsidRPr="00A7659B" w:rsidTr="00EC1BDB">
        <w:trPr>
          <w:trHeight w:hRule="exact" w:val="1362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5169FE" w:rsidRPr="00A7659B" w:rsidRDefault="005169FE" w:rsidP="00EC1BDB">
            <w:pPr>
              <w:pStyle w:val="LicenseNumberChar"/>
              <w:rPr>
                <w:rFonts w:cs="Tahoma"/>
                <w:bCs/>
                <w:szCs w:val="28"/>
                <w:lang w:val="es-ES_tradnl" w:bidi="he-IL"/>
              </w:rPr>
            </w:pPr>
          </w:p>
          <w:p w:rsidR="005169FE" w:rsidRPr="00A7659B" w:rsidRDefault="005169FE" w:rsidP="00EC1BDB">
            <w:pPr>
              <w:pStyle w:val="LicenseNumberChar"/>
              <w:rPr>
                <w:rFonts w:cs="Tahoma"/>
                <w:bCs/>
                <w:sz w:val="24"/>
                <w:szCs w:val="24"/>
                <w:lang w:val="es-ES_tradnl"/>
              </w:rPr>
            </w:pPr>
            <w:r w:rsidRPr="00A7659B">
              <w:rPr>
                <w:rFonts w:cs="Tahoma"/>
                <w:bCs/>
                <w:sz w:val="24"/>
                <w:szCs w:val="24"/>
                <w:lang w:val="es-ES_tradnl"/>
              </w:rPr>
              <w:t xml:space="preserve">Licencias: </w:t>
            </w:r>
            <w:r>
              <w:rPr>
                <w:rFonts w:cs="Tahoma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Tahoma"/>
                <w:sz w:val="24"/>
                <w:szCs w:val="24"/>
              </w:rPr>
              <w:instrText xml:space="preserve"> FORMTEXT </w:instrText>
            </w:r>
            <w:r>
              <w:rPr>
                <w:rFonts w:cs="Tahoma"/>
                <w:sz w:val="24"/>
                <w:szCs w:val="24"/>
              </w:rPr>
            </w:r>
            <w:r>
              <w:rPr>
                <w:rFonts w:cs="Tahoma"/>
                <w:sz w:val="24"/>
                <w:szCs w:val="24"/>
              </w:rPr>
              <w:fldChar w:fldCharType="separate"/>
            </w:r>
            <w:r>
              <w:rPr>
                <w:rFonts w:cs="Tahoma"/>
                <w:noProof/>
                <w:sz w:val="24"/>
                <w:szCs w:val="24"/>
              </w:rPr>
              <w:t> </w:t>
            </w:r>
            <w:r>
              <w:rPr>
                <w:rFonts w:cs="Tahoma"/>
                <w:noProof/>
                <w:sz w:val="24"/>
                <w:szCs w:val="24"/>
              </w:rPr>
              <w:t> </w:t>
            </w:r>
            <w:r>
              <w:rPr>
                <w:rFonts w:cs="Tahoma"/>
                <w:noProof/>
                <w:sz w:val="24"/>
                <w:szCs w:val="24"/>
              </w:rPr>
              <w:t> </w:t>
            </w:r>
            <w:r>
              <w:rPr>
                <w:rFonts w:cs="Tahoma"/>
                <w:noProof/>
                <w:sz w:val="24"/>
                <w:szCs w:val="24"/>
              </w:rPr>
              <w:t> </w:t>
            </w:r>
            <w:r>
              <w:rPr>
                <w:rFonts w:cs="Tahoma"/>
                <w:noProof/>
                <w:sz w:val="24"/>
                <w:szCs w:val="24"/>
              </w:rPr>
              <w:t> </w:t>
            </w:r>
            <w:r>
              <w:rPr>
                <w:rFonts w:cs="Tahoma"/>
                <w:sz w:val="24"/>
                <w:szCs w:val="24"/>
              </w:rPr>
              <w:fldChar w:fldCharType="end"/>
            </w:r>
            <w:r w:rsidRPr="00A7659B">
              <w:rPr>
                <w:rStyle w:val="FootnoteReference"/>
                <w:rFonts w:cs="Tahoma"/>
                <w:b w:val="0"/>
                <w:sz w:val="24"/>
                <w:szCs w:val="24"/>
                <w:lang w:val="es-ES_tradnl"/>
              </w:rPr>
              <w:footnoteReference w:id="2"/>
            </w:r>
            <w:r w:rsidRPr="00A7659B">
              <w:rPr>
                <w:rFonts w:cs="Tahoma"/>
                <w:sz w:val="24"/>
                <w:lang w:val="es-ES_tradnl" w:bidi="ta-IN"/>
              </w:rPr>
              <w:t xml:space="preserve"> </w:t>
            </w:r>
          </w:p>
        </w:tc>
      </w:tr>
      <w:tr w:rsidR="005169FE" w:rsidRPr="00097E3F" w:rsidTr="00EC1BDB">
        <w:trPr>
          <w:trHeight w:hRule="exact" w:val="408"/>
        </w:trPr>
        <w:tc>
          <w:tcPr>
            <w:tcW w:w="936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5169FE" w:rsidRPr="00A7659B" w:rsidRDefault="005169FE" w:rsidP="00EC1BDB">
            <w:pPr>
              <w:pStyle w:val="Heading2"/>
              <w:numPr>
                <w:ilvl w:val="0"/>
                <w:numId w:val="0"/>
              </w:numPr>
              <w:rPr>
                <w:lang w:val="es-ES_tradnl"/>
              </w:rPr>
            </w:pPr>
            <w:r w:rsidRPr="00A7659B">
              <w:rPr>
                <w:lang w:val="es-ES_tradnl"/>
              </w:rPr>
              <w:t>CONTRATO DE LICENCIA PARA EL USUARIO FINAL</w:t>
            </w:r>
          </w:p>
          <w:p w:rsidR="005169FE" w:rsidRPr="00A7659B" w:rsidRDefault="005169FE" w:rsidP="00EC1BDB">
            <w:pPr>
              <w:rPr>
                <w:rFonts w:ascii="Tahoma" w:hAnsi="Tahoma" w:cs="Tahoma"/>
                <w:lang w:val="es-ES_tradnl" w:bidi="he-IL"/>
              </w:rPr>
            </w:pPr>
          </w:p>
          <w:p w:rsidR="005169FE" w:rsidRPr="00A7659B" w:rsidRDefault="005169FE" w:rsidP="00EC1BDB">
            <w:pPr>
              <w:rPr>
                <w:rFonts w:ascii="Tahoma" w:hAnsi="Tahoma" w:cs="Tahoma"/>
                <w:lang w:val="es-ES_tradnl"/>
              </w:rPr>
            </w:pPr>
          </w:p>
        </w:tc>
      </w:tr>
    </w:tbl>
    <w:p w:rsidR="005169FE" w:rsidRPr="00A7659B" w:rsidRDefault="005169FE" w:rsidP="005169FE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sz w:val="20"/>
          <w:lang w:val="es-ES_tradnl"/>
        </w:rPr>
        <w:t>Los presentes términos de licencia constituyen un contrato entre usted y el licenciante de la aplicación o el conjunto de aplicaciones de software con que ha adquirido el software de Microsoft (“Licenciante”).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Sírvase leerlos detenidamente.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Se aplican al software mencionado anteriormente, el cual incluye el soporte físico en el que lo haya recibido, si corresponde.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Estos términos también se aplican a cualquier</w:t>
      </w:r>
    </w:p>
    <w:p w:rsidR="005169FE" w:rsidRPr="00A7659B" w:rsidRDefault="005169FE" w:rsidP="005169FE">
      <w:pPr>
        <w:pStyle w:val="Bullet2"/>
        <w:widowControl w:val="0"/>
        <w:numPr>
          <w:ilvl w:val="0"/>
          <w:numId w:val="2"/>
        </w:numPr>
        <w:tabs>
          <w:tab w:val="num" w:pos="360"/>
        </w:tabs>
        <w:ind w:left="360"/>
        <w:rPr>
          <w:lang w:val="es-ES_tradnl"/>
        </w:rPr>
      </w:pPr>
      <w:r w:rsidRPr="00A7659B">
        <w:rPr>
          <w:sz w:val="20"/>
          <w:lang w:val="es-ES_tradnl"/>
        </w:rPr>
        <w:t>actualización,</w:t>
      </w:r>
    </w:p>
    <w:p w:rsidR="005169FE" w:rsidRPr="00A7659B" w:rsidRDefault="005169FE" w:rsidP="005169FE">
      <w:pPr>
        <w:pStyle w:val="Bullet2"/>
        <w:widowControl w:val="0"/>
        <w:numPr>
          <w:ilvl w:val="0"/>
          <w:numId w:val="2"/>
        </w:numPr>
        <w:tabs>
          <w:tab w:val="num" w:pos="360"/>
        </w:tabs>
        <w:ind w:left="360"/>
        <w:rPr>
          <w:lang w:val="es-ES_tradnl"/>
        </w:rPr>
      </w:pPr>
      <w:r w:rsidRPr="00A7659B">
        <w:rPr>
          <w:sz w:val="20"/>
          <w:lang w:val="es-ES_tradnl"/>
        </w:rPr>
        <w:t>complemento y</w:t>
      </w:r>
    </w:p>
    <w:p w:rsidR="005169FE" w:rsidRPr="00A7659B" w:rsidRDefault="005169FE" w:rsidP="005169FE">
      <w:pPr>
        <w:pStyle w:val="Bullet2"/>
        <w:widowControl w:val="0"/>
        <w:numPr>
          <w:ilvl w:val="0"/>
          <w:numId w:val="2"/>
        </w:numPr>
        <w:tabs>
          <w:tab w:val="num" w:pos="360"/>
        </w:tabs>
        <w:ind w:left="360"/>
        <w:rPr>
          <w:lang w:val="es-ES_tradnl"/>
        </w:rPr>
      </w:pPr>
      <w:r w:rsidRPr="00A7659B">
        <w:rPr>
          <w:sz w:val="20"/>
          <w:lang w:val="es-ES_tradnl"/>
        </w:rPr>
        <w:t>servicio basado en Internet</w:t>
      </w:r>
    </w:p>
    <w:p w:rsidR="005169FE" w:rsidRPr="00A7659B" w:rsidRDefault="005169FE" w:rsidP="005169FE">
      <w:pPr>
        <w:pStyle w:val="Bullet2"/>
        <w:widowControl w:val="0"/>
        <w:rPr>
          <w:lang w:val="es-ES_tradnl"/>
        </w:rPr>
      </w:pPr>
      <w:r w:rsidRPr="00A7659B">
        <w:rPr>
          <w:rFonts w:eastAsia="SimSun"/>
          <w:sz w:val="20"/>
          <w:szCs w:val="20"/>
          <w:lang w:val="es-ES_tradnl"/>
        </w:rPr>
        <w:t>de Microsoft para este software, a menos que otros términos acompañen a dichos elementos.</w:t>
      </w:r>
      <w:r w:rsidRPr="00A7659B">
        <w:rPr>
          <w:lang w:val="es-ES_tradnl"/>
        </w:rPr>
        <w:t xml:space="preserve"> </w:t>
      </w:r>
      <w:r w:rsidRPr="00A7659B">
        <w:rPr>
          <w:sz w:val="20"/>
          <w:lang w:val="es-ES_tradnl"/>
        </w:rPr>
        <w:t>En tal caso, se aplicarán estos otros términos.</w:t>
      </w:r>
      <w:r w:rsidRPr="00A7659B">
        <w:rPr>
          <w:lang w:val="es-ES_tradnl"/>
        </w:rPr>
        <w:t xml:space="preserve"> </w:t>
      </w:r>
      <w:r w:rsidRPr="00A7659B">
        <w:rPr>
          <w:sz w:val="20"/>
          <w:lang w:val="es-ES_tradnl"/>
        </w:rPr>
        <w:t>Microsoft Corporation o una de sus filiales (conjuntamente “Microsoft”) ha licenciado el software al Licenciante.</w:t>
      </w:r>
    </w:p>
    <w:p w:rsidR="005169FE" w:rsidRPr="00A7659B" w:rsidRDefault="005169FE" w:rsidP="005169FE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b/>
          <w:sz w:val="20"/>
          <w:szCs w:val="20"/>
          <w:lang w:val="es-ES_tradnl"/>
        </w:rPr>
        <w:t>Al utilizar el software, usted acepta estos términos. Si no los acepta, no utilice 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En su lugar, devuélvalo al lugar de adquisición para un reembolso o crédito.</w:t>
      </w:r>
    </w:p>
    <w:p w:rsidR="005169FE" w:rsidRPr="00A7659B" w:rsidRDefault="005169FE" w:rsidP="005169FE">
      <w:pPr>
        <w:pStyle w:val="Preamble"/>
        <w:rPr>
          <w:lang w:val="es-ES_tradnl"/>
        </w:rPr>
      </w:pPr>
      <w:r w:rsidRPr="00A7659B">
        <w:rPr>
          <w:rFonts w:eastAsia="SimSun"/>
          <w:bCs w:val="0"/>
          <w:sz w:val="20"/>
          <w:szCs w:val="20"/>
          <w:lang w:val="es-ES_tradnl"/>
        </w:rPr>
        <w:t>Estos términos sustituyen cualquier término electrónico que pueda contener el software.</w:t>
      </w:r>
      <w:r w:rsidRPr="00A7659B">
        <w:rPr>
          <w:lang w:val="es-ES_tradnl"/>
        </w:rPr>
        <w:t xml:space="preserve"> </w:t>
      </w:r>
      <w:r w:rsidRPr="00A7659B">
        <w:rPr>
          <w:sz w:val="20"/>
          <w:lang w:val="es-ES_tradnl"/>
        </w:rPr>
        <w:t>Si cualquiera de los términos contenidos en el software entrara en conflicto con estos términos, regirán estos últimos.</w:t>
      </w:r>
    </w:p>
    <w:tbl>
      <w:tblPr>
        <w:tblW w:w="954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5169FE" w:rsidRPr="00A7659B" w:rsidTr="00EC1BDB">
        <w:trPr>
          <w:trHeight w:hRule="exact" w:val="110"/>
        </w:trPr>
        <w:tc>
          <w:tcPr>
            <w:tcW w:w="954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5169FE" w:rsidRPr="00A7659B" w:rsidRDefault="005169FE" w:rsidP="00EC1BDB">
            <w:pPr>
              <w:ind w:right="-115"/>
              <w:rPr>
                <w:rFonts w:ascii="Tahoma" w:hAnsi="Tahoma" w:cs="Tahoma"/>
                <w:lang w:val="es-ES_tradnl" w:bidi="he-IL"/>
              </w:rPr>
            </w:pPr>
          </w:p>
          <w:p w:rsidR="005169FE" w:rsidRPr="00A7659B" w:rsidRDefault="005169FE" w:rsidP="00EC1BDB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ind w:left="357" w:right="-115" w:hanging="357"/>
              <w:rPr>
                <w:sz w:val="18"/>
                <w:szCs w:val="18"/>
                <w:lang w:val="es-ES_tradnl"/>
              </w:rPr>
            </w:pPr>
            <w:r w:rsidRPr="00A7659B">
              <w:rPr>
                <w:sz w:val="18"/>
                <w:vertAlign w:val="superscript"/>
                <w:lang w:val="es-ES_tradnl"/>
              </w:rPr>
              <w:t>Microsoft( Application Center 2000</w:t>
            </w:r>
            <w:r w:rsidRPr="00A7659B">
              <w:rPr>
                <w:sz w:val="18"/>
                <w:vertAlign w:val="superscript"/>
                <w:lang w:val="es-ES_tradnl"/>
              </w:rPr>
              <w:fldChar w:fldCharType="begin"/>
            </w:r>
            <w:r w:rsidRPr="00A7659B">
              <w:instrText>tc "</w:instrText>
            </w:r>
            <w:r w:rsidRPr="00A7659B">
              <w:rPr>
                <w:sz w:val="18"/>
                <w:vertAlign w:val="superscript"/>
                <w:lang w:val="es-ES_tradnl"/>
              </w:rPr>
              <w:instrText>Microsoft( Application Center 2000" \f C \l 1</w:instrText>
            </w:r>
            <w:r w:rsidRPr="00A7659B">
              <w:rPr>
                <w:sz w:val="18"/>
                <w:vertAlign w:val="superscript"/>
                <w:lang w:val="es-ES_tradnl"/>
              </w:rPr>
              <w:fldChar w:fldCharType="end"/>
            </w:r>
            <w:r w:rsidRPr="00A7659B">
              <w:rPr>
                <w:sz w:val="18"/>
                <w:vertAlign w:val="superscript"/>
                <w:lang w:val="es-ES_tradnl"/>
              </w:rPr>
              <w:t>Microsoft SQL Server 2008 R2 Datacenter</w:t>
            </w:r>
          </w:p>
        </w:tc>
      </w:tr>
    </w:tbl>
    <w:p w:rsidR="005169FE" w:rsidRPr="00A7659B" w:rsidRDefault="005169FE" w:rsidP="005169FE">
      <w:pPr>
        <w:spacing w:before="120" w:after="120" w:line="240" w:lineRule="auto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b/>
          <w:sz w:val="20"/>
          <w:lang w:val="es-ES_tradnl"/>
        </w:rPr>
        <w:t>Si usted cumple los presentes términos de esta licencia, dispondrá de los derechos que a continuación se describen para cualquier licencia que adquiera.</w:t>
      </w:r>
    </w:p>
    <w:p w:rsidR="005169FE" w:rsidRPr="00A7659B" w:rsidRDefault="005169FE" w:rsidP="005169FE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INTRODUCCIÓN.</w:t>
      </w:r>
    </w:p>
    <w:p w:rsidR="005169FE" w:rsidRPr="00A7659B" w:rsidRDefault="005169FE" w:rsidP="005169FE">
      <w:pPr>
        <w:pStyle w:val="ListParagraph"/>
        <w:numPr>
          <w:ilvl w:val="0"/>
          <w:numId w:val="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software incluye el software de aplicación de escritorio.</w:t>
      </w:r>
    </w:p>
    <w:p w:rsidR="005169FE" w:rsidRPr="00A7659B" w:rsidRDefault="005169FE" w:rsidP="005169FE">
      <w:pPr>
        <w:pStyle w:val="ListParagraph"/>
        <w:numPr>
          <w:ilvl w:val="0"/>
          <w:numId w:val="4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Modelo de licencia.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Se otorga una licencia de software por copia y por dispositivo.</w:t>
      </w:r>
    </w:p>
    <w:p w:rsidR="005169FE" w:rsidRPr="00A7659B" w:rsidRDefault="005169FE" w:rsidP="005169FE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DERECHOS DE INSTALACIÓN Y USO.</w:t>
      </w:r>
    </w:p>
    <w:p w:rsidR="005169FE" w:rsidRPr="00A7659B" w:rsidRDefault="005169FE" w:rsidP="005169FE">
      <w:pPr>
        <w:pStyle w:val="ListParagraph"/>
        <w:numPr>
          <w:ilvl w:val="0"/>
          <w:numId w:val="5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Dispositivo licenciado.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dispositivo licenciado es el dispositivo en el cual usted usa 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Puede instalar y utilizar una copia del software en el dispositivo licenciado.</w:t>
      </w:r>
    </w:p>
    <w:p w:rsidR="005169FE" w:rsidRPr="00A7659B" w:rsidRDefault="005169FE" w:rsidP="005169FE">
      <w:pPr>
        <w:pStyle w:val="ListParagraph"/>
        <w:numPr>
          <w:ilvl w:val="0"/>
          <w:numId w:val="5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Dispositivo portátil.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Puede instalar otra copia en un dispositivo portátil para que lo utilice el usuario principal único del dispositivo licenciado.</w:t>
      </w:r>
    </w:p>
    <w:p w:rsidR="005169FE" w:rsidRPr="00A7659B" w:rsidRDefault="005169FE" w:rsidP="005169FE">
      <w:pPr>
        <w:pStyle w:val="ListParagraph"/>
        <w:numPr>
          <w:ilvl w:val="0"/>
          <w:numId w:val="5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lastRenderedPageBreak/>
        <w:t>Separación de componentes.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Los componentes del software se licencian como una unidad individual.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podrá separar los componentes e instalarlos en dispositivos distintos.</w:t>
      </w:r>
    </w:p>
    <w:p w:rsidR="005169FE" w:rsidRPr="00A7659B" w:rsidRDefault="005169FE" w:rsidP="005169FE">
      <w:pPr>
        <w:pStyle w:val="ListParagraph"/>
        <w:numPr>
          <w:ilvl w:val="0"/>
          <w:numId w:val="5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szCs w:val="20"/>
          <w:lang w:val="es-ES_tradnl"/>
        </w:rPr>
        <w:t>El software está sujeto a limitación temporal y dejará de ejecutarse catorce días después de su instalación, a menos que escriba la clave del producto.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Se le recordará escribir la clave del producto cada vez que se inicie el software durante el período de catorce días hasta que lo haga.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Si no escribe la clave del producto, no podrá obtener acceso a los datos usados con el software una vez que deje de ejecutarse.</w:t>
      </w:r>
    </w:p>
    <w:p w:rsidR="005169FE" w:rsidRPr="00A7659B" w:rsidRDefault="005169FE" w:rsidP="005169FE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REQUISITOS DE LICENCIA Y/O DERECHOS DE USO ADICIONALES.</w:t>
      </w:r>
    </w:p>
    <w:p w:rsidR="005169FE" w:rsidRPr="00A7659B" w:rsidRDefault="005169FE" w:rsidP="005169FE">
      <w:pPr>
        <w:pStyle w:val="ListParagraph"/>
        <w:numPr>
          <w:ilvl w:val="0"/>
          <w:numId w:val="6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szCs w:val="20"/>
          <w:lang w:val="es-ES_tradnl"/>
        </w:rPr>
        <w:t xml:space="preserve">Uso de Mapas. </w:t>
      </w:r>
    </w:p>
    <w:p w:rsidR="005169FE" w:rsidRPr="00A7659B" w:rsidRDefault="005169FE" w:rsidP="005169FE">
      <w:pPr>
        <w:pStyle w:val="ListParagraph"/>
        <w:numPr>
          <w:ilvl w:val="0"/>
          <w:numId w:val="2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Puede copiar los mapas y la información de los mapas para su uso interno no comercial.</w:t>
      </w:r>
    </w:p>
    <w:p w:rsidR="005169FE" w:rsidRPr="00A7659B" w:rsidRDefault="005169FE" w:rsidP="005169FE">
      <w:pPr>
        <w:pStyle w:val="ListParagraph"/>
        <w:numPr>
          <w:ilvl w:val="0"/>
          <w:numId w:val="2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No puede eliminar o cambiar ningún aviso legal o de propiedad intelectual.</w:t>
      </w:r>
    </w:p>
    <w:p w:rsidR="005169FE" w:rsidRPr="00A7659B" w:rsidRDefault="005169FE" w:rsidP="005169FE">
      <w:pPr>
        <w:pStyle w:val="ListParagraph"/>
        <w:numPr>
          <w:ilvl w:val="0"/>
          <w:numId w:val="2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No puede utilizar el software para obtener contactos con clientes potenciales.</w:t>
      </w:r>
    </w:p>
    <w:p w:rsidR="005169FE" w:rsidRPr="00A7659B" w:rsidRDefault="005169FE" w:rsidP="005169FE">
      <w:pPr>
        <w:pStyle w:val="ListParagraph"/>
        <w:numPr>
          <w:ilvl w:val="0"/>
          <w:numId w:val="2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szCs w:val="20"/>
          <w:lang w:val="es-ES_tradnl"/>
        </w:rPr>
        <w:t>Parte de la información del software puede ser inexacta y producir resultados incorrectos. No debe esperar que el software proporcione o represente con exactitud distancias, direcciones o características geográficas.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debe utilizar el software de un modo que sea inseguro.</w:t>
      </w:r>
    </w:p>
    <w:p w:rsidR="005169FE" w:rsidRPr="00A7659B" w:rsidRDefault="005169FE" w:rsidP="005169FE">
      <w:pPr>
        <w:pStyle w:val="ListParagraph"/>
        <w:numPr>
          <w:ilvl w:val="0"/>
          <w:numId w:val="2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Para MapPoint (“MapPoint”), no puede proporcionar una guía de vehículos en tiempo real.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puede calcular ni recomendar una ruta ni solicitar destinos en función de la ubicación de más de un vehículo.</w:t>
      </w:r>
    </w:p>
    <w:p w:rsidR="005169FE" w:rsidRPr="00A7659B" w:rsidRDefault="005169FE" w:rsidP="005169FE">
      <w:pPr>
        <w:pStyle w:val="ListParagraph"/>
        <w:numPr>
          <w:ilvl w:val="0"/>
          <w:numId w:val="2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Para MapPoint, puede conectar el dispositivo licenciado a los sistemas de su vehículo solamente para recibir alimentación o utilizar su sistema de sonido para las notificaciones de guía basadas en voz del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puede utilizar el software para ningún otro modo de interfaz con los sistemas del vehículo.</w:t>
      </w:r>
    </w:p>
    <w:p w:rsidR="005169FE" w:rsidRPr="00A7659B" w:rsidRDefault="005169FE" w:rsidP="005169FE">
      <w:pPr>
        <w:pStyle w:val="ListParagraph"/>
        <w:numPr>
          <w:ilvl w:val="0"/>
          <w:numId w:val="6"/>
        </w:numPr>
        <w:spacing w:before="120" w:after="1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Aplicaciones de flota.</w:t>
      </w:r>
    </w:p>
    <w:p w:rsidR="005169FE" w:rsidRPr="00A7659B" w:rsidRDefault="005169FE" w:rsidP="005169FE">
      <w:pPr>
        <w:pStyle w:val="ListParagraph"/>
        <w:numPr>
          <w:ilvl w:val="0"/>
          <w:numId w:val="2"/>
        </w:numPr>
        <w:tabs>
          <w:tab w:val="left" w:pos="1080"/>
        </w:tabs>
        <w:spacing w:before="120" w:after="120"/>
        <w:ind w:left="108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Las aplicaciones de flota son software que utilizan MapPoint y datos procedentes de sensores utilizados específicamente con múltiples vehículos para proporcionar información de ubicación (como sistemas de GPS y dispositivos para triangulación).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MapPoint puede utilizarse con aplicaciones de flota sólo si se dispone de una licencia independiente de MapPoint Fleet Edition.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En tal caso, podrá utilizar el software con aplicaciones de flota para cualquier número de vehículos.</w:t>
      </w:r>
    </w:p>
    <w:p w:rsidR="005169FE" w:rsidRPr="00A7659B" w:rsidRDefault="005169FE" w:rsidP="005169FE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SERVICIOS BASADOS EN INTERNET.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Microsoft proporciona servicios basados en Internet con 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Microsoft podrá modificarlos o cancelarlos en cualquier momento.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podrá utilizar dichos servicios de una manera tal que pueda perjudicar u obstaculizar su uso por parte de otros usuarios.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podrá utilizar los servicios para intentar acceder sin autorización a cualquier servicio, dato, cuenta o red, sean cuales fueren los métodos.</w:t>
      </w:r>
    </w:p>
    <w:p w:rsidR="005169FE" w:rsidRPr="00A7659B" w:rsidRDefault="005169FE" w:rsidP="005169FE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COBERTURA DE LA LICENCIA.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software se licencia, no se vende.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presente contrato únicamente le otorga algunos derechos de uso del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Licenciante y Microsoft se reservan los derechos restantes.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A menos que la legislación aplicable le otorgue más derechos a pesar de esta limitación, sólo podrá utilizar el software tal como se permite expresamente en este contrato.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Al hacerlo, deberá ajustarse a las limitaciones técnicas del software que sólo permiten utilizarlo de determinadas formas.</w:t>
      </w:r>
    </w:p>
    <w:p w:rsidR="005169FE" w:rsidRPr="00A7659B" w:rsidRDefault="005169FE" w:rsidP="005169FE">
      <w:pPr>
        <w:spacing w:before="120" w:after="120" w:line="240" w:lineRule="auto"/>
        <w:ind w:left="360"/>
        <w:rPr>
          <w:rFonts w:ascii="Tahoma" w:hAnsi="Tahoma" w:cs="Tahoma"/>
          <w:lang w:val="es-ES_tradnl" w:bidi="he-IL"/>
        </w:rPr>
      </w:pPr>
      <w:r w:rsidRPr="00A7659B">
        <w:rPr>
          <w:rFonts w:ascii="Tahoma" w:hAnsi="Tahoma" w:cs="Tahoma"/>
          <w:sz w:val="20"/>
          <w:lang w:val="es-ES_tradnl"/>
        </w:rPr>
        <w:t>No podrá:</w:t>
      </w:r>
    </w:p>
    <w:p w:rsidR="005169FE" w:rsidRPr="00A7659B" w:rsidRDefault="005169FE" w:rsidP="005169FE">
      <w:pPr>
        <w:pStyle w:val="ListParagraph"/>
        <w:numPr>
          <w:ilvl w:val="0"/>
          <w:numId w:val="2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eludir las limitaciones técnicas del software;</w:t>
      </w:r>
    </w:p>
    <w:p w:rsidR="005169FE" w:rsidRPr="00A7659B" w:rsidRDefault="005169FE" w:rsidP="005169FE">
      <w:pPr>
        <w:pStyle w:val="ListParagraph"/>
        <w:numPr>
          <w:ilvl w:val="0"/>
          <w:numId w:val="2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5169FE" w:rsidRPr="00A7659B" w:rsidRDefault="005169FE" w:rsidP="005169FE">
      <w:pPr>
        <w:pStyle w:val="ListParagraph"/>
        <w:numPr>
          <w:ilvl w:val="0"/>
          <w:numId w:val="2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lastRenderedPageBreak/>
        <w:t>hacer más copias del software de las que especifica este contrato o que permite la legislación aplicable a pesar de esta limitación;</w:t>
      </w:r>
    </w:p>
    <w:p w:rsidR="005169FE" w:rsidRPr="00A7659B" w:rsidRDefault="005169FE" w:rsidP="005169FE">
      <w:pPr>
        <w:pStyle w:val="ListParagraph"/>
        <w:numPr>
          <w:ilvl w:val="0"/>
          <w:numId w:val="2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publicar el software para hacer copias;</w:t>
      </w:r>
    </w:p>
    <w:p w:rsidR="005169FE" w:rsidRPr="00A7659B" w:rsidRDefault="005169FE" w:rsidP="005169FE">
      <w:pPr>
        <w:pStyle w:val="ListParagraph"/>
        <w:numPr>
          <w:ilvl w:val="0"/>
          <w:numId w:val="2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alquilar, arrendar o dar en préstamo el software; o</w:t>
      </w:r>
    </w:p>
    <w:p w:rsidR="005169FE" w:rsidRPr="00A7659B" w:rsidRDefault="005169FE" w:rsidP="005169FE">
      <w:pPr>
        <w:pStyle w:val="ListParagraph"/>
        <w:numPr>
          <w:ilvl w:val="0"/>
          <w:numId w:val="2"/>
        </w:numPr>
        <w:tabs>
          <w:tab w:val="left" w:pos="720"/>
        </w:tabs>
        <w:spacing w:before="120" w:after="120"/>
        <w:ind w:left="72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sz w:val="20"/>
          <w:lang w:val="es-ES_tradnl"/>
        </w:rPr>
        <w:t>utilizar el software para prestar servicios de hosting de software comercial.</w:t>
      </w:r>
    </w:p>
    <w:p w:rsidR="005169FE" w:rsidRPr="00A7659B" w:rsidRDefault="005169FE" w:rsidP="005169FE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COPIA DE SEGURIDAD.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Puede hacer una copia de seguridad del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Usted sólo podrá utilizarla para reinstalar el software.</w:t>
      </w:r>
    </w:p>
    <w:p w:rsidR="005169FE" w:rsidRPr="00A7659B" w:rsidRDefault="005169FE" w:rsidP="005169FE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DOCUMENTACIÓN.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Cualquier persona que tenga un acceso válido a su equipo o red interna puede copiar y utilizar la documentación para propósitos internos de referencia.</w:t>
      </w:r>
    </w:p>
    <w:p w:rsidR="005169FE" w:rsidRPr="00A7659B" w:rsidRDefault="005169FE" w:rsidP="005169FE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SOFTWARE NO PARA REVENTA.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podrá vender el software identificado como “NFR” o “No para Reventa”.</w:t>
      </w:r>
    </w:p>
    <w:p w:rsidR="005169FE" w:rsidRPr="00A7659B" w:rsidRDefault="005169FE" w:rsidP="005169FE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SOFTWARE DE EDICIÓN ACADÉMICA.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Debe ser un “Usuario Educativo Cualificado” para utilizar software marcado como Edición “Academic” (“Académica”) o “AE”.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Si no sabe si es un Usuario Educativo Cualificado, visite www.microsoft.com/education o comuníquese con la filial de Microsoft que presta servicio en su país.</w:t>
      </w:r>
    </w:p>
    <w:p w:rsidR="005169FE" w:rsidRPr="00A7659B" w:rsidRDefault="005169FE" w:rsidP="005169FE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TRANSMISIÓN A OTRO DISPOSITIVO.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Puede desinstalar el software e instalarlo en otro dispositivo para utilizarlo.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No puede hacer eso para compartir esta licencia entre dispositivos.</w:t>
      </w:r>
    </w:p>
    <w:p w:rsidR="005169FE" w:rsidRPr="00A7659B" w:rsidRDefault="005169FE" w:rsidP="005169FE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TRANSMISIÓN A TERCEROS.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primer usuario del software puede transmitir el software y este contrato, directamente a otro usuario final como parte de una transmisión de aplicación o conjunto de aplicaciones llave en mano de software integradas (la “Solución Unificada”) entregada a usted por el Licenciante o en nombre de éste únicamente como parte de la Solución Unificada.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Antes de la transmisión, dicho usuario final debe aceptar que este contrato se aplica a la transmisión y al uso del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primer usuario deberá desinstalar el software antes de transmitirlo separadamente del dispositivo.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primer usuario no puede conservar ninguna copia.</w:t>
      </w:r>
    </w:p>
    <w:p w:rsidR="005169FE" w:rsidRPr="00A7659B" w:rsidRDefault="005169FE" w:rsidP="005169FE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RESTRICCIONES EN MATERIA DE EXPORTACIÓN.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El software está sujeto a las leyes y reglamentos en materia de exportación de los Estados Unidos de América.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Usted debe cumplir la totalidad de las leyes y reglamentos internacionales y nacionales en materia de exportación que se apliquen al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Estas leyes incluyen restricciones sobre los destinos, los usuarios finales y el uso final.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Para obtener información adicional, consulte www.microsoft.com/exporting.</w:t>
      </w:r>
    </w:p>
    <w:p w:rsidR="005169FE" w:rsidRPr="00A7659B" w:rsidRDefault="005169FE" w:rsidP="005169FE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CONTRATO COMPLETO.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Este contrato, así como los términos de complementos, actualizaciones y servicios basados en Internet que usted utilice, constituyen el contrato completo del software.</w:t>
      </w:r>
    </w:p>
    <w:p w:rsidR="005169FE" w:rsidRPr="00A7659B" w:rsidRDefault="005169FE" w:rsidP="005169FE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EFECTOS LEGALES.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En el presente contrato se describen determinados derechos legales.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 posible que disponga de otros derechos en virtud de la legislación de su estado o país.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Asimismo, pueden asistirle determinados derechos con respecto al Licenciante de quien adquirió el software.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sz w:val="20"/>
          <w:lang w:val="es-ES_tradnl"/>
        </w:rPr>
        <w:t>Este contrato no modifica los derechos de los que dispone en virtud de la legislación de su estado o país si dicha legislación no permite tal cosa.</w:t>
      </w:r>
    </w:p>
    <w:p w:rsidR="005169FE" w:rsidRPr="00A7659B" w:rsidRDefault="005169FE" w:rsidP="005169FE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NO TOLERANTE A FALLOS.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EL SOFTWARE NO ES TOLERANTE A FALLOS.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5169FE" w:rsidRPr="00A7659B" w:rsidRDefault="005169FE" w:rsidP="005169FE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AUSENCIA DE GARANTÍAS DE MICROSOFT.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</w:p>
    <w:p w:rsidR="005169FE" w:rsidRPr="00A7659B" w:rsidRDefault="005169FE" w:rsidP="005169FE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lastRenderedPageBreak/>
        <w:t>AUSENCIA DE RESPONSABILIDAD DE MICROSOFT POR CIERTOS DAÑOS.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EN LA MÁXIMA</w:t>
      </w:r>
      <w:r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MEDIDA PERMITIDA POR LA LEGISLACIÓN APLICABLE, MICROSOFT NO SERÁ</w:t>
      </w:r>
      <w:r>
        <w:rPr>
          <w:rFonts w:ascii="Tahoma" w:hAnsi="Tahoma" w:cs="Tahoma"/>
          <w:b/>
          <w:sz w:val="20"/>
          <w:lang w:val="es-ES_tradnl"/>
        </w:rPr>
        <w:t> </w:t>
      </w:r>
      <w:r w:rsidRPr="00A7659B">
        <w:rPr>
          <w:rFonts w:ascii="Tahoma" w:hAnsi="Tahoma" w:cs="Tahoma"/>
          <w:b/>
          <w:sz w:val="20"/>
          <w:lang w:val="es-ES_tradnl"/>
        </w:rPr>
        <w:t>EN NINGÚN CASO RESPONSABLE DE LOS DAÑOS INDIRECTOS, ESPECIALES, CONSECUENCIALES O INCIDENTALES QUE SURJAN O ESTÉN RELACIONADOS CON EL USO O EL RENDIMIENTO DEL SOFTWARE O DE LA APLICACIÓN O EL CONJUNTO DE APLICACIONES DE SOFTWARE CON QUE HA ADQUIRIDO EL SOFTWARE, DONDE SE INCLUYEN, ENTRE OTRAS, LAS SANCIONES GUBERNAMENTALES.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ESTA LIMITACIÓN SERÁ APLICABLE AUNQUE ALGÚN RECURSO NO CUMPLA SU PROPÓSITO PRINCIPAL.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MICROSOFT NO SERÁ, EN NINGÚN CASO, RESPONSABLE DE NINGUNA CANTIDAD QUE SUPERE LOS DOSCIENTOS CINCUENTA (250) DÓLARES ESTADOUNIDENSES.</w:t>
      </w:r>
    </w:p>
    <w:p w:rsidR="005169FE" w:rsidRPr="00A7659B" w:rsidRDefault="005169FE" w:rsidP="005169FE">
      <w:pPr>
        <w:pStyle w:val="ListParagraph"/>
        <w:numPr>
          <w:ilvl w:val="0"/>
          <w:numId w:val="3"/>
        </w:numPr>
        <w:tabs>
          <w:tab w:val="left" w:pos="360"/>
        </w:tabs>
        <w:spacing w:before="120" w:after="120"/>
        <w:ind w:left="360"/>
        <w:contextualSpacing w:val="0"/>
        <w:rPr>
          <w:rFonts w:ascii="Tahoma" w:hAnsi="Tahoma" w:cs="Tahoma"/>
          <w:lang w:val="es-ES_tradnl"/>
        </w:rPr>
      </w:pPr>
      <w:r w:rsidRPr="00A7659B">
        <w:rPr>
          <w:rFonts w:ascii="Tahoma" w:hAnsi="Tahoma" w:cs="Tahoma"/>
          <w:b/>
          <w:sz w:val="20"/>
          <w:lang w:val="es-ES_tradnl"/>
        </w:rPr>
        <w:t>PARA AUSTRALIA SOLAMENTE.</w:t>
      </w:r>
      <w:r w:rsidRPr="00A7659B">
        <w:rPr>
          <w:rFonts w:ascii="Tahoma" w:eastAsia="SimSun" w:hAnsi="Tahoma" w:cs="Tahoma"/>
          <w:b/>
          <w:sz w:val="20"/>
          <w:szCs w:val="20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_tradnl"/>
        </w:rPr>
        <w:t>Las referencias a “Garantía Limitada” son referencias a la garantía expresa que proporciona Microsoft</w:t>
      </w:r>
      <w:r w:rsidRPr="00A7659B">
        <w:rPr>
          <w:rStyle w:val="Strong"/>
          <w:rFonts w:ascii="Tahoma" w:eastAsia="MS Mincho" w:hAnsi="Tahoma" w:cs="Tahoma"/>
          <w:sz w:val="20"/>
          <w:lang w:val="es-ES_tradnl"/>
        </w:rPr>
        <w:t>.</w:t>
      </w:r>
      <w:r w:rsidRPr="00A7659B">
        <w:rPr>
          <w:rFonts w:ascii="Tahoma" w:hAnsi="Tahoma" w:cs="Tahoma"/>
          <w:lang w:val="es-ES_tradnl"/>
        </w:rPr>
        <w:t xml:space="preserve"> </w:t>
      </w:r>
      <w:r w:rsidRPr="00A7659B">
        <w:rPr>
          <w:rFonts w:ascii="Tahoma" w:hAnsi="Tahoma" w:cs="Tahoma"/>
          <w:b/>
          <w:sz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 Australia.</w:t>
      </w:r>
    </w:p>
    <w:p w:rsidR="005169FE" w:rsidRPr="00A7659B" w:rsidRDefault="005169FE" w:rsidP="005169FE">
      <w:pPr>
        <w:pStyle w:val="Heading1"/>
        <w:widowControl w:val="0"/>
        <w:numPr>
          <w:ilvl w:val="0"/>
          <w:numId w:val="0"/>
        </w:numPr>
        <w:ind w:left="360"/>
        <w:rPr>
          <w:lang w:val="es-ES_tradnl"/>
        </w:rPr>
      </w:pPr>
      <w:r w:rsidRPr="00A7659B">
        <w:rPr>
          <w:sz w:val="20"/>
          <w:lang w:val="es-ES_tradnl"/>
        </w:rPr>
        <w:t>Si la Ley del Consumidor de Australia se aplica a su compra, lo siguiente se aplica a usted:</w:t>
      </w:r>
      <w:r w:rsidRPr="00A7659B">
        <w:rPr>
          <w:rFonts w:eastAsia="SimSun"/>
          <w:sz w:val="20"/>
          <w:szCs w:val="20"/>
          <w:lang w:val="es-ES_tradnl"/>
        </w:rPr>
        <w:t xml:space="preserve"> </w:t>
      </w:r>
      <w:r w:rsidRPr="00A7659B">
        <w:rPr>
          <w:sz w:val="20"/>
          <w:lang w:val="es-ES_tradnl"/>
        </w:rPr>
        <w:t>nuestros productos tienen garantías que no se pueden excluir en virtud de la Ley del Consumidor de Australia (Australian Consumer Law).</w:t>
      </w:r>
      <w:r w:rsidRPr="00A7659B">
        <w:rPr>
          <w:rFonts w:eastAsia="SimSun"/>
          <w:sz w:val="20"/>
          <w:szCs w:val="20"/>
          <w:lang w:val="es-ES_tradnl"/>
        </w:rPr>
        <w:t xml:space="preserve"> </w:t>
      </w:r>
      <w:r w:rsidRPr="00A7659B">
        <w:rPr>
          <w:sz w:val="20"/>
          <w:lang w:val="es-ES_tradnl"/>
        </w:rPr>
        <w:t>Tiene derecho a una sustitución o un reembolso en caso de un error importante y la compensación por cualquier otra pérdida o daño razonablemente previsible.</w:t>
      </w:r>
      <w:r w:rsidRPr="00A7659B">
        <w:rPr>
          <w:lang w:val="es-ES_tradnl"/>
        </w:rPr>
        <w:t xml:space="preserve"> </w:t>
      </w:r>
      <w:r w:rsidRPr="00A7659B">
        <w:rPr>
          <w:sz w:val="20"/>
          <w:lang w:val="es-ES_tradnl"/>
        </w:rPr>
        <w:t>Usted también tiene derecho a que los productos sean reparados o sustituidos si estos no son de calidad aceptable y si el error no equivale a un error importante.</w:t>
      </w:r>
    </w:p>
    <w:p w:rsidR="005169FE" w:rsidRPr="006839AE" w:rsidRDefault="005169FE" w:rsidP="005169FE">
      <w:pPr>
        <w:spacing w:before="120" w:after="120" w:line="240" w:lineRule="auto"/>
        <w:ind w:left="360"/>
        <w:rPr>
          <w:rFonts w:ascii="Tahoma" w:eastAsia="Calibri" w:hAnsi="Tahoma" w:cs="Tahoma"/>
          <w:sz w:val="20"/>
          <w:szCs w:val="20"/>
          <w:lang w:val="es-ES_tradnl"/>
        </w:rPr>
      </w:pPr>
    </w:p>
    <w:p w:rsidR="00554F9C" w:rsidRDefault="00554F9C"/>
    <w:sectPr w:rsidR="00554F9C" w:rsidSect="00723777">
      <w:foot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69FE" w:rsidRDefault="005169FE" w:rsidP="005169FE">
      <w:pPr>
        <w:spacing w:after="0" w:line="240" w:lineRule="auto"/>
      </w:pPr>
      <w:r>
        <w:separator/>
      </w:r>
    </w:p>
  </w:endnote>
  <w:endnote w:type="continuationSeparator" w:id="0">
    <w:p w:rsidR="005169FE" w:rsidRDefault="005169FE" w:rsidP="00516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4F24FC" w:rsidRPr="0057267D" w:rsidTr="00D83FA4">
      <w:tc>
        <w:tcPr>
          <w:tcW w:w="5328" w:type="dxa"/>
        </w:tcPr>
        <w:p w:rsidR="004F24FC" w:rsidRPr="006839AE" w:rsidRDefault="004F07CA" w:rsidP="004F24FC">
          <w:pPr>
            <w:pStyle w:val="Footer"/>
            <w:rPr>
              <w:rFonts w:ascii="Tahoma" w:eastAsia="Calibri" w:hAnsi="Tahoma" w:cs="Tahoma"/>
              <w:sz w:val="19"/>
              <w:szCs w:val="19"/>
            </w:rPr>
          </w:pPr>
          <w:r w:rsidRPr="006839AE">
            <w:rPr>
              <w:rFonts w:ascii="Tahoma" w:eastAsia="Calibri" w:hAnsi="Tahoma" w:cs="Tahoma"/>
              <w:sz w:val="19"/>
              <w:szCs w:val="19"/>
            </w:rPr>
            <w:t>ISV Royalty Agreement EULA (August 1, 2012)</w:t>
          </w:r>
        </w:p>
      </w:tc>
      <w:tc>
        <w:tcPr>
          <w:tcW w:w="4248" w:type="dxa"/>
        </w:tcPr>
        <w:p w:rsidR="004F24FC" w:rsidRPr="006839AE" w:rsidRDefault="004F07CA" w:rsidP="0057267D">
          <w:pPr>
            <w:pStyle w:val="Footer"/>
            <w:jc w:val="right"/>
            <w:rPr>
              <w:rFonts w:ascii="Tahoma" w:eastAsia="Calibri" w:hAnsi="Tahoma" w:cs="Tahoma"/>
              <w:sz w:val="19"/>
              <w:szCs w:val="19"/>
            </w:rPr>
          </w:pPr>
          <w:r w:rsidRPr="006839AE">
            <w:rPr>
              <w:rFonts w:ascii="Tahoma" w:eastAsia="Calibri" w:hAnsi="Tahoma" w:cs="Tahoma"/>
              <w:sz w:val="19"/>
              <w:szCs w:val="19"/>
            </w:rPr>
            <w:t xml:space="preserve">Page </w:t>
          </w:r>
          <w:r w:rsidRPr="006839AE">
            <w:rPr>
              <w:rFonts w:ascii="Tahoma" w:eastAsia="Calibri" w:hAnsi="Tahoma" w:cs="Tahoma"/>
              <w:sz w:val="19"/>
              <w:szCs w:val="19"/>
            </w:rPr>
            <w:fldChar w:fldCharType="begin"/>
          </w:r>
          <w:r w:rsidRPr="006839AE">
            <w:rPr>
              <w:rFonts w:ascii="Tahoma" w:eastAsia="Calibri" w:hAnsi="Tahoma" w:cs="Tahoma"/>
              <w:sz w:val="19"/>
              <w:szCs w:val="19"/>
            </w:rPr>
            <w:instrText xml:space="preserve"> PAGE </w:instrText>
          </w:r>
          <w:r w:rsidRPr="006839AE">
            <w:rPr>
              <w:rFonts w:ascii="Tahoma" w:eastAsia="Calibri" w:hAnsi="Tahoma" w:cs="Tahoma"/>
              <w:sz w:val="19"/>
              <w:szCs w:val="19"/>
            </w:rPr>
            <w:fldChar w:fldCharType="separate"/>
          </w:r>
          <w:r>
            <w:rPr>
              <w:rFonts w:ascii="Tahoma" w:eastAsia="Calibri" w:hAnsi="Tahoma" w:cs="Tahoma"/>
              <w:noProof/>
              <w:sz w:val="19"/>
              <w:szCs w:val="19"/>
            </w:rPr>
            <w:t>4</w:t>
          </w:r>
          <w:r w:rsidRPr="006839AE">
            <w:rPr>
              <w:rFonts w:ascii="Tahoma" w:eastAsia="Calibri" w:hAnsi="Tahoma" w:cs="Tahoma"/>
              <w:sz w:val="19"/>
              <w:szCs w:val="19"/>
            </w:rPr>
            <w:fldChar w:fldCharType="end"/>
          </w:r>
          <w:r w:rsidRPr="006839AE">
            <w:rPr>
              <w:rFonts w:ascii="Tahoma" w:eastAsia="Calibri" w:hAnsi="Tahoma" w:cs="Tahoma"/>
              <w:sz w:val="19"/>
              <w:szCs w:val="19"/>
            </w:rPr>
            <w:t xml:space="preserve"> of </w:t>
          </w:r>
          <w:r w:rsidRPr="006839AE">
            <w:rPr>
              <w:rFonts w:ascii="Tahoma" w:eastAsia="Calibri" w:hAnsi="Tahoma" w:cs="Tahoma"/>
              <w:sz w:val="19"/>
              <w:szCs w:val="19"/>
            </w:rPr>
            <w:fldChar w:fldCharType="begin"/>
          </w:r>
          <w:r w:rsidRPr="006839AE">
            <w:rPr>
              <w:rFonts w:ascii="Tahoma" w:eastAsia="Calibri" w:hAnsi="Tahoma" w:cs="Tahoma"/>
              <w:sz w:val="19"/>
              <w:szCs w:val="19"/>
            </w:rPr>
            <w:instrText xml:space="preserve"> NUMPAGES </w:instrText>
          </w:r>
          <w:r w:rsidRPr="006839AE">
            <w:rPr>
              <w:rFonts w:ascii="Tahoma" w:eastAsia="Calibri" w:hAnsi="Tahoma" w:cs="Tahoma"/>
              <w:sz w:val="19"/>
              <w:szCs w:val="19"/>
            </w:rPr>
            <w:fldChar w:fldCharType="separate"/>
          </w:r>
          <w:r>
            <w:rPr>
              <w:rFonts w:ascii="Tahoma" w:eastAsia="Calibri" w:hAnsi="Tahoma" w:cs="Tahoma"/>
              <w:noProof/>
              <w:sz w:val="19"/>
              <w:szCs w:val="19"/>
            </w:rPr>
            <w:t>4</w:t>
          </w:r>
          <w:r w:rsidRPr="006839AE">
            <w:rPr>
              <w:rFonts w:ascii="Tahoma" w:eastAsia="Calibri" w:hAnsi="Tahoma" w:cs="Tahoma"/>
              <w:sz w:val="19"/>
              <w:szCs w:val="19"/>
            </w:rPr>
            <w:fldChar w:fldCharType="end"/>
          </w:r>
        </w:p>
      </w:tc>
    </w:tr>
  </w:tbl>
  <w:p w:rsidR="004F24FC" w:rsidRPr="006839AE" w:rsidRDefault="004F07CA">
    <w:pPr>
      <w:pStyle w:val="Footer"/>
      <w:rPr>
        <w:rFonts w:eastAsia="Calibri" w:cs="Aria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69FE" w:rsidRDefault="005169FE" w:rsidP="005169FE">
      <w:pPr>
        <w:spacing w:after="0" w:line="240" w:lineRule="auto"/>
      </w:pPr>
      <w:r>
        <w:separator/>
      </w:r>
    </w:p>
  </w:footnote>
  <w:footnote w:type="continuationSeparator" w:id="0">
    <w:p w:rsidR="005169FE" w:rsidRDefault="005169FE" w:rsidP="005169FE">
      <w:pPr>
        <w:spacing w:after="0" w:line="240" w:lineRule="auto"/>
      </w:pPr>
      <w:r>
        <w:continuationSeparator/>
      </w:r>
    </w:p>
  </w:footnote>
  <w:footnote w:id="1">
    <w:p w:rsidR="005169FE" w:rsidRPr="00EA0B25" w:rsidRDefault="005169FE" w:rsidP="005169FE">
      <w:pPr>
        <w:pStyle w:val="FootnoteText"/>
        <w:rPr>
          <w:b/>
          <w:bCs/>
          <w:sz w:val="16"/>
          <w:szCs w:val="16"/>
        </w:rPr>
      </w:pPr>
      <w:r w:rsidRPr="00EA0B25">
        <w:rPr>
          <w:rStyle w:val="FootnoteReference"/>
          <w:b/>
          <w:bCs/>
          <w:sz w:val="16"/>
          <w:szCs w:val="16"/>
        </w:rPr>
        <w:footnoteRef/>
      </w:r>
      <w:r w:rsidRPr="00EA0B25">
        <w:rPr>
          <w:b/>
          <w:bCs/>
          <w:sz w:val="16"/>
          <w:szCs w:val="16"/>
        </w:rPr>
        <w:t xml:space="preserve"> </w:t>
      </w:r>
      <w:r w:rsidRPr="00EA0B25">
        <w:rPr>
          <w:b/>
          <w:bCs/>
          <w:sz w:val="16"/>
          <w:szCs w:val="16"/>
          <w:lang w:val="es-ES_tradnl"/>
        </w:rPr>
        <w:t>LICENCIANTE: Incluya el nombre de producto correspondiente, esto es, “Fleet Edition”, “Navigation Edition” o</w:t>
      </w:r>
      <w:r>
        <w:rPr>
          <w:b/>
          <w:bCs/>
          <w:sz w:val="16"/>
          <w:szCs w:val="16"/>
          <w:lang w:val="es-ES_tradnl"/>
        </w:rPr>
        <w:t> </w:t>
      </w:r>
      <w:r w:rsidRPr="00EA0B25">
        <w:rPr>
          <w:b/>
          <w:bCs/>
          <w:sz w:val="16"/>
          <w:szCs w:val="16"/>
          <w:lang w:val="es-ES_tradnl"/>
        </w:rPr>
        <w:t>“Standard Edition”. Por ejemplo, si el software licenciado es Microsoft MapPoint</w:t>
      </w:r>
      <w:r w:rsidRPr="008F375D">
        <w:rPr>
          <w:b/>
          <w:bCs/>
          <w:sz w:val="16"/>
          <w:szCs w:val="16"/>
          <w:vertAlign w:val="superscript"/>
          <w:lang w:val="es-ES_tradnl"/>
        </w:rPr>
        <w:t>®</w:t>
      </w:r>
      <w:r w:rsidRPr="00EA0B25">
        <w:rPr>
          <w:b/>
          <w:bCs/>
          <w:sz w:val="16"/>
          <w:szCs w:val="16"/>
          <w:lang w:val="es-ES_tradnl"/>
        </w:rPr>
        <w:t xml:space="preserve"> 2013, Fleet Edition, el nombre es: Microsoft</w:t>
      </w:r>
      <w:r w:rsidRPr="00EA0B25">
        <w:rPr>
          <w:b/>
          <w:bCs/>
          <w:sz w:val="16"/>
          <w:szCs w:val="16"/>
          <w:vertAlign w:val="superscript"/>
          <w:lang w:val="es-ES_tradnl"/>
        </w:rPr>
        <w:t>®</w:t>
      </w:r>
      <w:r w:rsidRPr="00EA0B25">
        <w:rPr>
          <w:b/>
          <w:bCs/>
          <w:sz w:val="16"/>
          <w:szCs w:val="16"/>
          <w:lang w:val="es-ES_tradnl"/>
        </w:rPr>
        <w:t xml:space="preserve"> MapPoint</w:t>
      </w:r>
      <w:r w:rsidRPr="008F375D">
        <w:rPr>
          <w:b/>
          <w:bCs/>
          <w:sz w:val="16"/>
          <w:szCs w:val="16"/>
          <w:vertAlign w:val="superscript"/>
          <w:lang w:val="es-ES_tradnl"/>
        </w:rPr>
        <w:t>®</w:t>
      </w:r>
      <w:r w:rsidRPr="00EA0B25">
        <w:rPr>
          <w:b/>
          <w:bCs/>
          <w:sz w:val="16"/>
          <w:szCs w:val="16"/>
          <w:lang w:val="es-ES_tradnl"/>
        </w:rPr>
        <w:t xml:space="preserve"> 2013 Fleet Edition.</w:t>
      </w:r>
    </w:p>
  </w:footnote>
  <w:footnote w:id="2">
    <w:p w:rsidR="005169FE" w:rsidRPr="00097E3F" w:rsidRDefault="005169FE" w:rsidP="005169FE">
      <w:pPr>
        <w:pStyle w:val="FootnoteText"/>
        <w:spacing w:after="0"/>
        <w:rPr>
          <w:b/>
          <w:bCs/>
          <w:sz w:val="16"/>
          <w:szCs w:val="16"/>
          <w:lang w:val="it-IT"/>
        </w:rPr>
      </w:pPr>
      <w:r w:rsidRPr="00EA0B25">
        <w:rPr>
          <w:rStyle w:val="FootnoteReference"/>
          <w:b/>
          <w:bCs/>
          <w:sz w:val="16"/>
          <w:szCs w:val="16"/>
        </w:rPr>
        <w:footnoteRef/>
      </w:r>
      <w:r w:rsidRPr="00097E3F">
        <w:rPr>
          <w:b/>
          <w:bCs/>
          <w:sz w:val="16"/>
          <w:szCs w:val="16"/>
          <w:lang w:val="it-IT"/>
        </w:rPr>
        <w:t xml:space="preserve"> </w:t>
      </w:r>
      <w:r w:rsidRPr="00EA0B25">
        <w:rPr>
          <w:b/>
          <w:bCs/>
          <w:sz w:val="16"/>
          <w:szCs w:val="16"/>
          <w:lang w:val="es-ES_tradnl"/>
        </w:rPr>
        <w:t>LICENCIANTE:</w:t>
      </w:r>
      <w:r>
        <w:rPr>
          <w:b/>
          <w:bCs/>
          <w:sz w:val="16"/>
          <w:szCs w:val="16"/>
          <w:lang w:val="es-ES_tradnl"/>
        </w:rPr>
        <w:t xml:space="preserve"> </w:t>
      </w:r>
      <w:r w:rsidRPr="00EA0B25">
        <w:rPr>
          <w:rFonts w:cs="Latha"/>
          <w:b/>
          <w:bCs/>
          <w:sz w:val="16"/>
          <w:szCs w:val="16"/>
          <w:lang w:val="es-ES_tradnl" w:bidi="ta-IN"/>
        </w:rPr>
        <w:t>debe especificar el número total de copias del software cuya licencia se otorga al usuario final en virtud del presente contrato.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FB2EA9"/>
    <w:multiLevelType w:val="hybridMultilevel"/>
    <w:tmpl w:val="72A47E6A"/>
    <w:lvl w:ilvl="0" w:tplc="2E1EAA86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F731B0"/>
    <w:multiLevelType w:val="multilevel"/>
    <w:tmpl w:val="1C229B3C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3"/>
        </w:tabs>
        <w:ind w:left="723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41D8310F"/>
    <w:multiLevelType w:val="hybridMultilevel"/>
    <w:tmpl w:val="9CA86DBE"/>
    <w:lvl w:ilvl="0" w:tplc="781EA1C2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83672B0"/>
    <w:multiLevelType w:val="hybridMultilevel"/>
    <w:tmpl w:val="A35689F2"/>
    <w:lvl w:ilvl="0" w:tplc="A138655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A9A3FF8"/>
    <w:multiLevelType w:val="hybridMultilevel"/>
    <w:tmpl w:val="227C6216"/>
    <w:lvl w:ilvl="0" w:tplc="3ED4B646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FE13816"/>
    <w:multiLevelType w:val="hybridMultilevel"/>
    <w:tmpl w:val="EB12BBCA"/>
    <w:lvl w:ilvl="0" w:tplc="BBB0D4B8">
      <w:numFmt w:val="bullet"/>
      <w:lvlText w:val="•"/>
      <w:lvlJc w:val="left"/>
      <w:pPr>
        <w:ind w:left="420" w:hanging="360"/>
      </w:pPr>
      <w:rPr>
        <w:rFonts w:ascii="Tahoma" w:eastAsia="Times New Roman" w:hAnsi="Tahoma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vD7JHOJ9pGZTUDLUr6/2ClTNHhN5tWdiMU2DL2G8MOkvKKH0jPJ9btdNpPmHTotZium03mku/c2C2yQzv7LWwQ==" w:salt="OjGNzJk9Chhn/TpAzIac7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9FE"/>
    <w:rsid w:val="004F07CA"/>
    <w:rsid w:val="005169FE"/>
    <w:rsid w:val="0055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FC8200-4B15-47C2-A18B-32CCFCA80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69FE"/>
    <w:pPr>
      <w:spacing w:after="200" w:line="276" w:lineRule="auto"/>
    </w:pPr>
    <w:rPr>
      <w:rFonts w:ascii="Calibri" w:eastAsia="Times New Roman" w:hAnsi="Calibri" w:cs="Latha"/>
    </w:rPr>
  </w:style>
  <w:style w:type="paragraph" w:styleId="Heading1">
    <w:name w:val="heading 1"/>
    <w:basedOn w:val="Normal"/>
    <w:link w:val="Heading1Char"/>
    <w:uiPriority w:val="9"/>
    <w:qFormat/>
    <w:rsid w:val="005169FE"/>
    <w:pPr>
      <w:numPr>
        <w:numId w:val="1"/>
      </w:numPr>
      <w:spacing w:before="120" w:after="120" w:line="240" w:lineRule="auto"/>
      <w:outlineLvl w:val="0"/>
    </w:pPr>
    <w:rPr>
      <w:rFonts w:ascii="Tahoma" w:eastAsia="MS Mincho" w:hAnsi="Tahoma" w:cs="Tahoma"/>
      <w:b/>
      <w:bCs/>
      <w:sz w:val="19"/>
      <w:szCs w:val="19"/>
    </w:rPr>
  </w:style>
  <w:style w:type="paragraph" w:styleId="Heading2">
    <w:name w:val="heading 2"/>
    <w:basedOn w:val="Normal"/>
    <w:link w:val="Heading2Char"/>
    <w:uiPriority w:val="9"/>
    <w:qFormat/>
    <w:rsid w:val="005169FE"/>
    <w:pPr>
      <w:numPr>
        <w:ilvl w:val="1"/>
        <w:numId w:val="1"/>
      </w:numPr>
      <w:spacing w:before="120" w:after="120" w:line="240" w:lineRule="auto"/>
      <w:outlineLvl w:val="1"/>
    </w:pPr>
    <w:rPr>
      <w:rFonts w:ascii="Tahoma" w:eastAsia="MS Mincho" w:hAnsi="Tahoma" w:cs="Tahoma"/>
      <w:b/>
      <w:bCs/>
      <w:sz w:val="19"/>
      <w:szCs w:val="19"/>
    </w:rPr>
  </w:style>
  <w:style w:type="paragraph" w:styleId="Heading3">
    <w:name w:val="heading 3"/>
    <w:basedOn w:val="Normal"/>
    <w:link w:val="Heading3Char"/>
    <w:uiPriority w:val="9"/>
    <w:qFormat/>
    <w:rsid w:val="005169FE"/>
    <w:pPr>
      <w:numPr>
        <w:ilvl w:val="2"/>
        <w:numId w:val="1"/>
      </w:numPr>
      <w:tabs>
        <w:tab w:val="left" w:pos="1077"/>
      </w:tabs>
      <w:spacing w:before="120" w:after="120" w:line="240" w:lineRule="auto"/>
      <w:outlineLvl w:val="2"/>
    </w:pPr>
    <w:rPr>
      <w:rFonts w:ascii="Tahoma" w:eastAsia="MS Mincho" w:hAnsi="Tahoma" w:cs="Tahoma"/>
      <w:sz w:val="19"/>
      <w:szCs w:val="19"/>
    </w:rPr>
  </w:style>
  <w:style w:type="paragraph" w:styleId="Heading4">
    <w:name w:val="heading 4"/>
    <w:basedOn w:val="Normal"/>
    <w:link w:val="Heading4Char"/>
    <w:uiPriority w:val="9"/>
    <w:qFormat/>
    <w:rsid w:val="005169FE"/>
    <w:pPr>
      <w:numPr>
        <w:ilvl w:val="3"/>
        <w:numId w:val="1"/>
      </w:numPr>
      <w:spacing w:before="120" w:after="120" w:line="240" w:lineRule="auto"/>
      <w:outlineLvl w:val="3"/>
    </w:pPr>
    <w:rPr>
      <w:rFonts w:ascii="Tahoma" w:eastAsia="MS Mincho" w:hAnsi="Tahoma" w:cs="Tahoma"/>
      <w:sz w:val="19"/>
      <w:szCs w:val="19"/>
    </w:rPr>
  </w:style>
  <w:style w:type="paragraph" w:styleId="Heading5">
    <w:name w:val="heading 5"/>
    <w:basedOn w:val="Normal"/>
    <w:link w:val="Heading5Char"/>
    <w:uiPriority w:val="9"/>
    <w:qFormat/>
    <w:rsid w:val="005169FE"/>
    <w:pPr>
      <w:numPr>
        <w:ilvl w:val="4"/>
        <w:numId w:val="1"/>
      </w:numPr>
      <w:tabs>
        <w:tab w:val="left" w:pos="1792"/>
      </w:tabs>
      <w:spacing w:before="120" w:after="120" w:line="240" w:lineRule="auto"/>
      <w:outlineLvl w:val="4"/>
    </w:pPr>
    <w:rPr>
      <w:rFonts w:ascii="Tahoma" w:eastAsia="MS Mincho" w:hAnsi="Tahoma" w:cs="Tahoma"/>
      <w:sz w:val="19"/>
      <w:szCs w:val="19"/>
    </w:rPr>
  </w:style>
  <w:style w:type="paragraph" w:styleId="Heading6">
    <w:name w:val="heading 6"/>
    <w:basedOn w:val="Normal"/>
    <w:link w:val="Heading6Char"/>
    <w:uiPriority w:val="9"/>
    <w:qFormat/>
    <w:rsid w:val="005169FE"/>
    <w:pPr>
      <w:numPr>
        <w:ilvl w:val="5"/>
        <w:numId w:val="1"/>
      </w:numPr>
      <w:spacing w:before="120" w:after="120" w:line="240" w:lineRule="auto"/>
      <w:outlineLvl w:val="5"/>
    </w:pPr>
    <w:rPr>
      <w:rFonts w:ascii="Tahoma" w:eastAsia="MS Mincho" w:hAnsi="Tahoma" w:cs="Tahoma"/>
      <w:sz w:val="19"/>
      <w:szCs w:val="19"/>
    </w:rPr>
  </w:style>
  <w:style w:type="paragraph" w:styleId="Heading7">
    <w:name w:val="heading 7"/>
    <w:basedOn w:val="Normal"/>
    <w:link w:val="Heading7Char"/>
    <w:uiPriority w:val="9"/>
    <w:qFormat/>
    <w:rsid w:val="005169FE"/>
    <w:pPr>
      <w:numPr>
        <w:ilvl w:val="6"/>
        <w:numId w:val="1"/>
      </w:numPr>
      <w:spacing w:before="120" w:after="120" w:line="240" w:lineRule="auto"/>
      <w:outlineLvl w:val="6"/>
    </w:pPr>
    <w:rPr>
      <w:rFonts w:ascii="Tahoma" w:eastAsia="MS Mincho" w:hAnsi="Tahoma" w:cs="Tahoma"/>
      <w:sz w:val="19"/>
      <w:szCs w:val="19"/>
    </w:rPr>
  </w:style>
  <w:style w:type="paragraph" w:styleId="Heading8">
    <w:name w:val="heading 8"/>
    <w:basedOn w:val="Normal"/>
    <w:link w:val="Heading8Char"/>
    <w:uiPriority w:val="9"/>
    <w:qFormat/>
    <w:rsid w:val="005169FE"/>
    <w:pPr>
      <w:numPr>
        <w:ilvl w:val="7"/>
        <w:numId w:val="1"/>
      </w:numPr>
      <w:spacing w:before="120" w:after="120" w:line="240" w:lineRule="auto"/>
      <w:outlineLvl w:val="7"/>
    </w:pPr>
    <w:rPr>
      <w:rFonts w:ascii="Tahoma" w:eastAsia="MS Mincho" w:hAnsi="Tahoma" w:cs="Tahoma"/>
      <w:sz w:val="19"/>
      <w:szCs w:val="19"/>
    </w:rPr>
  </w:style>
  <w:style w:type="paragraph" w:styleId="Heading9">
    <w:name w:val="heading 9"/>
    <w:basedOn w:val="Normal"/>
    <w:link w:val="Heading9Char"/>
    <w:uiPriority w:val="9"/>
    <w:qFormat/>
    <w:rsid w:val="005169FE"/>
    <w:pPr>
      <w:numPr>
        <w:ilvl w:val="8"/>
        <w:numId w:val="1"/>
      </w:numPr>
      <w:spacing w:before="120" w:after="120" w:line="240" w:lineRule="auto"/>
      <w:outlineLvl w:val="8"/>
    </w:pPr>
    <w:rPr>
      <w:rFonts w:ascii="Tahoma" w:eastAsia="MS Mincho" w:hAnsi="Tahoma" w:cs="Tahoma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69FE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"/>
    <w:rsid w:val="005169FE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"/>
    <w:rsid w:val="005169FE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"/>
    <w:rsid w:val="005169FE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"/>
    <w:rsid w:val="005169FE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"/>
    <w:rsid w:val="005169FE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"/>
    <w:rsid w:val="005169FE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"/>
    <w:rsid w:val="005169FE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"/>
    <w:rsid w:val="005169FE"/>
    <w:rPr>
      <w:rFonts w:ascii="Tahoma" w:eastAsia="MS Mincho" w:hAnsi="Tahoma" w:cs="Tahoma"/>
      <w:sz w:val="19"/>
      <w:szCs w:val="19"/>
    </w:rPr>
  </w:style>
  <w:style w:type="paragraph" w:customStyle="1" w:styleId="Bullet2">
    <w:name w:val="Bullet 2"/>
    <w:basedOn w:val="Normal"/>
    <w:uiPriority w:val="99"/>
    <w:rsid w:val="005169FE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ListParagraph">
    <w:name w:val="List Paragraph"/>
    <w:basedOn w:val="Normal"/>
    <w:uiPriority w:val="34"/>
    <w:qFormat/>
    <w:rsid w:val="005169FE"/>
    <w:pPr>
      <w:spacing w:after="0" w:line="240" w:lineRule="auto"/>
      <w:ind w:left="720"/>
      <w:contextualSpacing/>
    </w:pPr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5169FE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69FE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5169FE"/>
    <w:rPr>
      <w:rFonts w:cs="Times New Roman"/>
      <w:vertAlign w:val="superscript"/>
    </w:rPr>
  </w:style>
  <w:style w:type="character" w:customStyle="1" w:styleId="LicenseNumberCharChar">
    <w:name w:val="License Number Char Char"/>
    <w:link w:val="LicenseNumberChar"/>
    <w:locked/>
    <w:rsid w:val="005169FE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5169FE"/>
    <w:pPr>
      <w:spacing w:after="0" w:line="240" w:lineRule="auto"/>
    </w:pPr>
    <w:rPr>
      <w:rFonts w:ascii="Tahoma" w:eastAsia="SimSun" w:hAnsi="Tahoma" w:cstheme="minorBidi"/>
      <w:b/>
      <w:sz w:val="28"/>
    </w:rPr>
  </w:style>
  <w:style w:type="paragraph" w:customStyle="1" w:styleId="Preamble">
    <w:name w:val="Preamble"/>
    <w:basedOn w:val="Normal"/>
    <w:uiPriority w:val="99"/>
    <w:rsid w:val="005169FE"/>
    <w:pPr>
      <w:spacing w:before="120" w:after="120" w:line="240" w:lineRule="auto"/>
    </w:pPr>
    <w:rPr>
      <w:rFonts w:ascii="Tahoma" w:eastAsia="MS Mincho" w:hAnsi="Tahoma" w:cs="Tahoma"/>
      <w:b/>
      <w:bCs/>
      <w:sz w:val="19"/>
      <w:szCs w:val="19"/>
    </w:rPr>
  </w:style>
  <w:style w:type="paragraph" w:styleId="Footer">
    <w:name w:val="footer"/>
    <w:basedOn w:val="Normal"/>
    <w:link w:val="FooterChar"/>
    <w:unhideWhenUsed/>
    <w:rsid w:val="005169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5169FE"/>
    <w:rPr>
      <w:rFonts w:ascii="Calibri" w:eastAsia="Times New Roman" w:hAnsi="Calibri" w:cs="Latha"/>
    </w:rPr>
  </w:style>
  <w:style w:type="character" w:styleId="Strong">
    <w:name w:val="Strong"/>
    <w:uiPriority w:val="99"/>
    <w:qFormat/>
    <w:rsid w:val="005169FE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1601</Words>
  <Characters>9126</Characters>
  <Application>Microsoft Office Word</Application>
  <DocSecurity>0</DocSecurity>
  <Lines>76</Lines>
  <Paragraphs>21</Paragraphs>
  <ScaleCrop>false</ScaleCrop>
  <Company/>
  <LinksUpToDate>false</LinksUpToDate>
  <CharactersWithSpaces>10706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Myles (Inviso)</dc:creator>
  <cp:keywords/>
  <dc:description/>
  <cp:lastModifiedBy>Alexandra Myles (Inviso)</cp:lastModifiedBy>
  <cp:revision>2</cp:revision>
  <dcterms:created xsi:type="dcterms:W3CDTF">2013-03-26T19:30:00Z</dcterms:created>
  <dcterms:modified xsi:type="dcterms:W3CDTF">2013-03-26T19:30:00Z</dcterms:modified>
</cp:coreProperties>
</file>